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DC" w:rsidRDefault="003928DC">
      <w:pPr>
        <w:pStyle w:val="ConsPlusTitlePage"/>
      </w:pPr>
      <w:r>
        <w:br/>
      </w:r>
    </w:p>
    <w:p w:rsidR="003928DC" w:rsidRDefault="003928DC">
      <w:pPr>
        <w:pStyle w:val="ConsPlusNormal"/>
        <w:jc w:val="both"/>
        <w:outlineLvl w:val="0"/>
      </w:pPr>
    </w:p>
    <w:p w:rsidR="003928DC" w:rsidRDefault="003928DC">
      <w:pPr>
        <w:pStyle w:val="ConsPlusTitle"/>
        <w:jc w:val="center"/>
      </w:pPr>
      <w:r>
        <w:t>ФЕДЕРАЛЬНАЯ АНТИМОНОПОЛЬНАЯ СЛУЖБА</w:t>
      </w:r>
    </w:p>
    <w:p w:rsidR="003928DC" w:rsidRDefault="003928DC">
      <w:pPr>
        <w:pStyle w:val="ConsPlusTitle"/>
        <w:jc w:val="both"/>
      </w:pPr>
    </w:p>
    <w:p w:rsidR="003928DC" w:rsidRDefault="003928DC">
      <w:pPr>
        <w:pStyle w:val="ConsPlusTitle"/>
        <w:jc w:val="center"/>
      </w:pPr>
      <w:r>
        <w:t>ПИСЬМО</w:t>
      </w:r>
    </w:p>
    <w:p w:rsidR="003928DC" w:rsidRDefault="003928DC">
      <w:pPr>
        <w:pStyle w:val="ConsPlusTitle"/>
        <w:jc w:val="center"/>
      </w:pPr>
      <w:r>
        <w:t>от 7 декабря 2017 г. N АК/85673/17</w:t>
      </w:r>
    </w:p>
    <w:p w:rsidR="003928DC" w:rsidRDefault="003928DC">
      <w:pPr>
        <w:pStyle w:val="ConsPlusTitle"/>
        <w:jc w:val="both"/>
      </w:pPr>
    </w:p>
    <w:p w:rsidR="003928DC" w:rsidRDefault="003928DC">
      <w:pPr>
        <w:pStyle w:val="ConsPlusTitle"/>
        <w:jc w:val="center"/>
      </w:pPr>
      <w:bookmarkStart w:id="0" w:name="_GoBack"/>
      <w:r>
        <w:t>О ТОРГАХ</w:t>
      </w:r>
    </w:p>
    <w:p w:rsidR="003928DC" w:rsidRDefault="003928DC">
      <w:pPr>
        <w:pStyle w:val="ConsPlusTitle"/>
        <w:jc w:val="center"/>
      </w:pPr>
      <w:r>
        <w:t>НА ПРАВО ЗАКЛЮЧЕНИЯ ДОГОВОРА НА УСТАНОВКУ И ЭКСПЛУАТАЦИЮ</w:t>
      </w:r>
    </w:p>
    <w:p w:rsidR="003928DC" w:rsidRDefault="003928DC">
      <w:pPr>
        <w:pStyle w:val="ConsPlusTitle"/>
        <w:jc w:val="center"/>
      </w:pPr>
      <w:r>
        <w:t>РЕКЛАМНЫХ КОНСТРУКЦИЙ</w:t>
      </w:r>
      <w:bookmarkEnd w:id="0"/>
    </w:p>
    <w:p w:rsidR="003928DC" w:rsidRDefault="003928DC">
      <w:pPr>
        <w:pStyle w:val="ConsPlusNormal"/>
        <w:jc w:val="both"/>
      </w:pPr>
    </w:p>
    <w:p w:rsidR="003928DC" w:rsidRDefault="003928DC">
      <w:pPr>
        <w:pStyle w:val="ConsPlusNormal"/>
        <w:ind w:firstLine="540"/>
        <w:jc w:val="both"/>
      </w:pPr>
      <w:r>
        <w:t>ФАС России в связи с поступающими обращениями относительно торгов на право заключения договоров на установку и эксплуатацию рекламных конструкций сообщает.</w:t>
      </w:r>
    </w:p>
    <w:p w:rsidR="003928DC" w:rsidRDefault="003928DC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рекламе"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>
        <w:t>управомоченным</w:t>
      </w:r>
      <w:proofErr w:type="spellEnd"/>
      <w:r>
        <w:t xml:space="preserve"> собственником такого имущества, в том числе с арендатором.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5.6 статьи 19</w:t>
        </w:r>
      </w:hyperlink>
      <w:r>
        <w:t xml:space="preserve"> Федерального закона "О рекламе" аукцион или конкурс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проводится</w:t>
      </w:r>
      <w:proofErr w:type="gramEnd"/>
      <w:r>
        <w:t xml:space="preserve"> по истечении срока действия договора на установку и эксплуатацию рекламной конструкции.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рекламе" предусматривает проведение торгов (аукциона или конкурса) на заключение договора на установку и эксплуатацию рекламной конструкции на земельном участке, здании или ином недвижимом имуществе,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власти, органом местного самоуправления и владельцем рекламной конструкции установлена рекламная конструкция, непосредственно по истечении</w:t>
      </w:r>
      <w:proofErr w:type="gramEnd"/>
      <w:r>
        <w:t xml:space="preserve"> срока действия договора на установку и эксплуатацию рекламной конструкции и без учета наличия (либо отсутствия) рекламных конструкций на разыгрываемых местах.</w:t>
      </w:r>
    </w:p>
    <w:p w:rsidR="003928DC" w:rsidRDefault="003928DC">
      <w:pPr>
        <w:pStyle w:val="ConsPlusNormal"/>
        <w:spacing w:before="220"/>
        <w:ind w:firstLine="540"/>
        <w:jc w:val="both"/>
      </w:pPr>
      <w:r>
        <w:t xml:space="preserve">При этом в соответствии с </w:t>
      </w:r>
      <w:hyperlink r:id="rId8" w:history="1">
        <w:r>
          <w:rPr>
            <w:color w:val="0000FF"/>
          </w:rPr>
          <w:t>пунктом 2 статьи 448</w:t>
        </w:r>
      </w:hyperlink>
      <w:r>
        <w:t xml:space="preserve"> Гражданского кодекса Российской Федерации, если иное не предусмотрено законом, извещение о проведении торгов должно быть опубликовано организатором не </w:t>
      </w:r>
      <w:proofErr w:type="gramStart"/>
      <w:r>
        <w:t>позднее</w:t>
      </w:r>
      <w:proofErr w:type="gramEnd"/>
      <w:r>
        <w:t xml:space="preserve"> чем за тридцать дней до их проведения. Извещение должно содержать сведения о времени, месте и форме торгов, об их предмете, о существующих обременениях продаваемого имущества и о порядке проведения торгов, в том числе об оформлении участия в торгах, определении лица, выигравшего торги, а также сведения о начальной цене.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исходя из совокупного анализа положений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рекламе", а также Гражданского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подготовка к проведению торгов на заключение договора на установку и эксплуатацию рекламной конструкции, в том числе размещение извещения о проведении торгов, может осуществляться до истечения срока действия договора на установку и эксплуатацию рекламной конструкции, но таким образом, чтобы непосредственно проведение торгов (определение победителя</w:t>
      </w:r>
      <w:proofErr w:type="gramEnd"/>
      <w:r>
        <w:t xml:space="preserve"> торгов) осуществлялось не ранее чем по истечении срока действия договора на установку и эксплуатацию рекламной конструкции.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Стоит обратить внимание, что в гражданском законодательстве Российской Федерации под обременением имущества собственника понимается наличие законных прав на имущество собственника, правомерное владение и пользование третьими лицами имуществом собственника (см., например, </w:t>
      </w:r>
      <w:hyperlink r:id="rId11" w:history="1">
        <w:r>
          <w:rPr>
            <w:color w:val="0000FF"/>
          </w:rPr>
          <w:t>статью 8.1</w:t>
        </w:r>
      </w:hyperlink>
      <w:r>
        <w:t xml:space="preserve"> Гражданского кодекса Российской Федерации, </w:t>
      </w:r>
      <w:hyperlink r:id="rId12" w:history="1">
        <w:r>
          <w:rPr>
            <w:color w:val="0000FF"/>
          </w:rPr>
          <w:t>пункт 61</w:t>
        </w:r>
      </w:hyperlink>
      <w:r>
        <w:t xml:space="preserve"> постановления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</w:t>
      </w:r>
      <w:proofErr w:type="gramEnd"/>
      <w:r>
        <w:t xml:space="preserve"> производства"). При этом</w:t>
      </w:r>
      <w:proofErr w:type="gramStart"/>
      <w:r>
        <w:t>,</w:t>
      </w:r>
      <w:proofErr w:type="gramEnd"/>
      <w:r>
        <w:t xml:space="preserve"> в силу </w:t>
      </w:r>
      <w:hyperlink r:id="rId13" w:history="1">
        <w:r>
          <w:rPr>
            <w:color w:val="0000FF"/>
          </w:rPr>
          <w:t>части 1 статьи 460</w:t>
        </w:r>
      </w:hyperlink>
      <w:r>
        <w:t xml:space="preserve"> Гражданского кодекса Российской Федерации продавец обязан передать покупателю товар свободным от любых прав третьих лиц, за исключением случая, когда покупатель согласился принять товар, обремененный правами третьих лиц.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>Следовательно, по мнению ФАС России, в случае осуществления подготовки к проведению торгов на заключение договора на установку и эксплуатацию рекламной конструкции и размещения извещения о проведении торгов на местах, в отношении которых действуют договоры на установку и эксплуатацию рекламной конструкции и выданы соответствующие разрешения (с целью непосредственно проведения торгов по истечении срока действия договора на установку и эксплуатацию рекламной конструкции</w:t>
      </w:r>
      <w:proofErr w:type="gramEnd"/>
      <w:r>
        <w:t xml:space="preserve">), организатор торгов в извещении о проведении торгов должен указать информацию о наличии таких договоров и разрешений как о существующих обременениях данного имущества в соответствии с </w:t>
      </w:r>
      <w:hyperlink r:id="rId14" w:history="1">
        <w:r>
          <w:rPr>
            <w:color w:val="0000FF"/>
          </w:rPr>
          <w:t>пунктом 2 статьи 448</w:t>
        </w:r>
      </w:hyperlink>
      <w:r>
        <w:t xml:space="preserve"> Гражданского кодекса Российской Федерации.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В силу </w:t>
      </w:r>
      <w:hyperlink r:id="rId15" w:history="1">
        <w:r>
          <w:rPr>
            <w:color w:val="0000FF"/>
          </w:rPr>
          <w:t>пункта 71</w:t>
        </w:r>
      </w:hyperlink>
      <w:r>
        <w:t xml:space="preserve"> постановления Пленума Верховного Суда Российской Федерации от 17.11.2015 N 50 "О применении судами законодательства при рассмотрении некоторых вопросов, возникающих в ходе исполнительного производства" в качестве оснований для признания торгов недействительными могут быть, в частности, публикация информации о проведении публичных торгов в ненадлежащем периодическом издании (с учетом объема тиража, территории распространения, доступности издания);</w:t>
      </w:r>
      <w:proofErr w:type="gramEnd"/>
      <w:r>
        <w:t xml:space="preserve"> </w:t>
      </w:r>
      <w:proofErr w:type="gramStart"/>
      <w:r>
        <w:t>нарушение сроков публикации и полноты информации о времени, месте и форме публичных торгов, их предмете, о существующих обременениях продаваемого имущества и порядке проведения публичных торгов, в том числе об оформлении участия в них, определении лица, выигравшего публичные торги, а также сведений о начальной цене; необоснованное недопущение к участию в публичных торгах.</w:t>
      </w:r>
      <w:proofErr w:type="gramEnd"/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>Соответственно, при отсутствии в извещении о проведении торгов, опубликованном до истечения срока действия договора на установку и эксплуатацию рекламной конструкции (с целью непосредственно проведения торгов по истечении срока действия договора на установку и эксплуатацию рекламной конструкции), информации о наличии такого обременения имущества как действующие договор и разрешение на установку и эксплуатацию рекламной конструкции, может рассматриваться как основание для аннулирования торгов</w:t>
      </w:r>
      <w:proofErr w:type="gramEnd"/>
      <w:r>
        <w:t xml:space="preserve"> антимонопольным органом.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При этом, по мнению ФАС России, поскольку под обременением имущества собственника понимается наличие именно законных прав на имущество собственника, в случае если торги на право заключения договора на установку и эксплуатацию рекламной конструкции проводятся в отношении места, на котором фактически установлена рекламная конструкция, однако действующие договор и разрешение на установку и эксплуатацию данной рекламной конструкции отсутствуют, </w:t>
      </w:r>
      <w:proofErr w:type="spellStart"/>
      <w:r>
        <w:t>неприведение</w:t>
      </w:r>
      <w:proofErr w:type="spellEnd"/>
      <w:r>
        <w:t xml:space="preserve"> в извещении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торгов сведений о данной фактически установленной рекламной конструкции не является основанием для аннулирования торгов антимонопольным органом.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согласно </w:t>
      </w:r>
      <w:hyperlink r:id="rId16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 защите конкуренции" 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</w:t>
      </w:r>
      <w:proofErr w:type="gramEnd"/>
      <w:r>
        <w:t xml:space="preserve"> приводят или могут привести к недопущению, ограничению, </w:t>
      </w:r>
      <w:r>
        <w:lastRenderedPageBreak/>
        <w:t>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3928DC" w:rsidRDefault="003928DC">
      <w:pPr>
        <w:pStyle w:val="ConsPlusNormal"/>
        <w:spacing w:before="220"/>
        <w:ind w:firstLine="540"/>
        <w:jc w:val="both"/>
      </w:pPr>
      <w:r>
        <w:t xml:space="preserve">Установка и эксплуатация рекламной конструкции без разрешения, срок действия которого не истек, не допускаются согласно </w:t>
      </w:r>
      <w:hyperlink r:id="rId17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рекламе". </w:t>
      </w:r>
      <w:proofErr w:type="gramStart"/>
      <w:r>
        <w:t>При этом данная же норма определяет последствия выявления конструкции, установленной и эксплуатируемой без соответствующего разрешения - такая конструкция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округа, на территориях которых установлена рекламная конструкция.</w:t>
      </w:r>
      <w:proofErr w:type="gramEnd"/>
    </w:p>
    <w:p w:rsidR="003928DC" w:rsidRDefault="003928DC">
      <w:pPr>
        <w:pStyle w:val="ConsPlusNormal"/>
        <w:spacing w:before="220"/>
        <w:ind w:firstLine="540"/>
        <w:jc w:val="both"/>
      </w:pPr>
      <w:r>
        <w:t xml:space="preserve">При этом выдача предписания о демонтаже рекламной конструкции, установленной и эксплуатируемой в отсутствие разрешения на установку и эксплуатацию рекламной конструкции, срок </w:t>
      </w:r>
      <w:proofErr w:type="gramStart"/>
      <w:r>
        <w:t>действия</w:t>
      </w:r>
      <w:proofErr w:type="gramEnd"/>
      <w:r>
        <w:t xml:space="preserve"> которого не истек, а также демонтаж рекламной конструкции, в случае,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рекламе", является обязанностью, а не правом органа местного самоуправления.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Неисполнение указанной обязанности органом местного самоуправления, в том числе при проведении торгов на заключение договора на установку и эксплуатацию рекламной конструкции при наличии на разыгрываемых местах фактически установленных рекламных конструкций, в отношении которых отсутствуют действующие договор и разрешение на установку и эксплуатацию данной рекламной конструкции, может подпадать под признаки нарушения </w:t>
      </w:r>
      <w:hyperlink r:id="rId19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 защите конкуренции".</w:t>
      </w:r>
      <w:proofErr w:type="gramEnd"/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Также признаки нарушения </w:t>
      </w:r>
      <w:hyperlink r:id="rId20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 защите конкуренции" могут усматриваться в бездействии органа местного самоуправления, выраженном в неисполнении обязанности по осуществлению действий по демонтажу рекламных конструкций, установленных и эксплуатируемых без действующего разрешения, при проведении торгов на заключение договора на установку и эксплуатацию рекламной конструкции непосредственно по истечении срока действия ранее заключенного договора на установку и эксплуатацию</w:t>
      </w:r>
      <w:proofErr w:type="gramEnd"/>
      <w:r>
        <w:t xml:space="preserve"> рекламной конструкции, при наличии рекламных конструкций на разыгрываемых местах в случае, если победитель торгов по данной причине не сможет реализовать свое право на установку и эксплуатацию рекламной конструкции.</w:t>
      </w:r>
    </w:p>
    <w:p w:rsidR="003928DC" w:rsidRDefault="003928DC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Статья 39.1</w:t>
        </w:r>
      </w:hyperlink>
      <w:r>
        <w:t xml:space="preserve"> Федерального закона "О защите конкуренции" предусматривает в случае выявления признаков нарушения </w:t>
      </w:r>
      <w:hyperlink r:id="rId22" w:history="1">
        <w:r>
          <w:rPr>
            <w:color w:val="0000FF"/>
          </w:rPr>
          <w:t>статьи 15</w:t>
        </w:r>
      </w:hyperlink>
      <w:r>
        <w:t xml:space="preserve"> данного Закона выдачу антимонопольным органом хозяйствующему субъекту, федеральному органу исполнительной власти, органу государственной власти субъекта Российской Федерации, органу местного самоуправления, иным осуществляющим функции указанных органов органу или организации предупреждения в письменной форме о прекращении действий (бездействия), об отмене или изменении актов, которые содержат признаки нарушения</w:t>
      </w:r>
      <w:proofErr w:type="gramEnd"/>
      <w:r>
        <w:t xml:space="preserve">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3928DC" w:rsidRDefault="003928DC">
      <w:pPr>
        <w:pStyle w:val="ConsPlusNormal"/>
        <w:spacing w:before="220"/>
        <w:ind w:firstLine="540"/>
        <w:jc w:val="both"/>
      </w:pPr>
      <w:r>
        <w:t>Такое предупреждение антимонопольного органа, по мнению ФАС России, должно содержать указание на необходимость совершения органом местного самоуправления действий, направленных на демонтаж рекламных конструкций, установленных и эксплуатируемых без действующего разрешения.</w:t>
      </w:r>
    </w:p>
    <w:p w:rsidR="003928DC" w:rsidRDefault="003928DC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Части 10</w:t>
        </w:r>
      </w:hyperlink>
      <w:r>
        <w:t xml:space="preserve">, </w:t>
      </w:r>
      <w:hyperlink r:id="rId24" w:history="1">
        <w:r>
          <w:rPr>
            <w:color w:val="0000FF"/>
          </w:rPr>
          <w:t>21</w:t>
        </w:r>
      </w:hyperlink>
      <w:r>
        <w:t xml:space="preserve">, </w:t>
      </w:r>
      <w:hyperlink r:id="rId25" w:history="1">
        <w:r>
          <w:rPr>
            <w:color w:val="0000FF"/>
          </w:rPr>
          <w:t>21.1</w:t>
        </w:r>
      </w:hyperlink>
      <w:r>
        <w:t xml:space="preserve">, </w:t>
      </w:r>
      <w:hyperlink r:id="rId26" w:history="1">
        <w:r>
          <w:rPr>
            <w:color w:val="0000FF"/>
          </w:rPr>
          <w:t>21.2</w:t>
        </w:r>
      </w:hyperlink>
      <w:r>
        <w:t xml:space="preserve">, </w:t>
      </w:r>
      <w:hyperlink r:id="rId27" w:history="1">
        <w:r>
          <w:rPr>
            <w:color w:val="0000FF"/>
          </w:rPr>
          <w:t>21.3 статьи 19</w:t>
        </w:r>
      </w:hyperlink>
      <w:r>
        <w:t xml:space="preserve"> Федерального закона "О рекламе" предусматривают действия органов местного самоуправления в случае выявления рекламной конструкции, установленной и эксплуатируемой без разрешения, срок действия которого не истек, а также действия органа местного самоуправления, если владелец рекламной конструкции, установленной и эксплуатируемой без действующего разрешения, не выполнит предписание органа местного самоуправления.</w:t>
      </w:r>
      <w:proofErr w:type="gramEnd"/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При этом стоит отметить, что в соответствии с </w:t>
      </w:r>
      <w:hyperlink r:id="rId28" w:history="1">
        <w:r>
          <w:rPr>
            <w:color w:val="0000FF"/>
          </w:rPr>
          <w:t>пунктом 19</w:t>
        </w:r>
      </w:hyperlink>
      <w:r>
        <w:t xml:space="preserve"> постановления Пленума Высшего Арбитражного Суда Российской Федерации от 08.10.2012 N 58 "О некоторых вопросах практики применения арбитражными судами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рекламе" ввиду отсутствия в законодательстве соответствующего регулирования смена собственника рекламной конструкции не приводит к перемене лиц в обязательстве из договора на установку рекламной конструкции в силу закона.</w:t>
      </w:r>
      <w:proofErr w:type="gramEnd"/>
    </w:p>
    <w:p w:rsidR="003928DC" w:rsidRDefault="003928DC">
      <w:pPr>
        <w:pStyle w:val="ConsPlusNormal"/>
        <w:spacing w:before="220"/>
        <w:ind w:firstLine="540"/>
        <w:jc w:val="both"/>
      </w:pPr>
      <w:r>
        <w:t>Соответственно, законодательство Российской Федерации предусматривает возможность, при сохранении прав владельца рекламной конструкции по договору на установку и эксплуатацию рекламной конструкции, одному лицу передать по договору (например, договору уступки) непосредственно саму рекламную конструкцию иному лицу.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>По мнению специалистов ФАС России, в случае если новый договор на установку и эксплуатацию рекламной конструкции заключен с победителем торгов на право установки и эксплуатации рекламной конструкции на конкретном месте, проведенных непосредственно после истечения срока действия ранее заключенного договора на установку и эксплуатацию рекламной конструкции на данном месте, и такому победителю торгов переуступлены права на рекламную конструкцию как таковую, то</w:t>
      </w:r>
      <w:proofErr w:type="gramEnd"/>
      <w:r>
        <w:t xml:space="preserve"> такие переуступка и новый договор, а также полученное в соответствии с новым договором разрешение могут служить основанием для признания исполнением предписания органа местного самоуправления, выданного в соответствии с </w:t>
      </w:r>
      <w:hyperlink r:id="rId30" w:history="1">
        <w:r>
          <w:rPr>
            <w:color w:val="0000FF"/>
          </w:rPr>
          <w:t>частью 21 статьи 19</w:t>
        </w:r>
      </w:hyperlink>
      <w:r>
        <w:t xml:space="preserve"> Федерального закона "О рекламе".</w:t>
      </w:r>
    </w:p>
    <w:p w:rsidR="003928DC" w:rsidRDefault="003928DC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нового договора, заключенного в установленном порядке, и разрешения на установку и эксплуатацию рекламной конструкции на месте, на котором размещалась рекламная конструкция на основании ранее заключенного договора на установку и эксплуатацию рекламной конструкции, такая рекламная конструкция должна быть демонтирована, в том числе в порядке, предусмотренном </w:t>
      </w:r>
      <w:hyperlink r:id="rId31" w:history="1">
        <w:r>
          <w:rPr>
            <w:color w:val="0000FF"/>
          </w:rPr>
          <w:t>частями 10</w:t>
        </w:r>
      </w:hyperlink>
      <w:r>
        <w:t xml:space="preserve">, </w:t>
      </w:r>
      <w:hyperlink r:id="rId32" w:history="1">
        <w:r>
          <w:rPr>
            <w:color w:val="0000FF"/>
          </w:rPr>
          <w:t>21</w:t>
        </w:r>
      </w:hyperlink>
      <w:r>
        <w:t xml:space="preserve">, </w:t>
      </w:r>
      <w:hyperlink r:id="rId33" w:history="1">
        <w:r>
          <w:rPr>
            <w:color w:val="0000FF"/>
          </w:rPr>
          <w:t>21.1</w:t>
        </w:r>
      </w:hyperlink>
      <w:r>
        <w:t xml:space="preserve">, </w:t>
      </w:r>
      <w:hyperlink r:id="rId34" w:history="1">
        <w:r>
          <w:rPr>
            <w:color w:val="0000FF"/>
          </w:rPr>
          <w:t>21.2</w:t>
        </w:r>
      </w:hyperlink>
      <w:r>
        <w:t xml:space="preserve">, </w:t>
      </w:r>
      <w:hyperlink r:id="rId35" w:history="1">
        <w:r>
          <w:rPr>
            <w:color w:val="0000FF"/>
          </w:rPr>
          <w:t>21.3 статьи 19</w:t>
        </w:r>
      </w:hyperlink>
      <w:r>
        <w:t xml:space="preserve"> Федерального закона "О рекламе".</w:t>
      </w:r>
      <w:proofErr w:type="gramEnd"/>
    </w:p>
    <w:p w:rsidR="003928DC" w:rsidRDefault="003928DC">
      <w:pPr>
        <w:pStyle w:val="ConsPlusNormal"/>
        <w:jc w:val="both"/>
      </w:pPr>
    </w:p>
    <w:p w:rsidR="003928DC" w:rsidRDefault="003928DC">
      <w:pPr>
        <w:pStyle w:val="ConsPlusNormal"/>
        <w:jc w:val="right"/>
      </w:pPr>
      <w:r>
        <w:t>А.Б.КАШЕВАРОВ</w:t>
      </w:r>
    </w:p>
    <w:p w:rsidR="003928DC" w:rsidRDefault="003928DC">
      <w:pPr>
        <w:pStyle w:val="ConsPlusNormal"/>
        <w:jc w:val="both"/>
      </w:pPr>
    </w:p>
    <w:p w:rsidR="003928DC" w:rsidRDefault="003928DC">
      <w:pPr>
        <w:pStyle w:val="ConsPlusNormal"/>
        <w:jc w:val="both"/>
      </w:pPr>
    </w:p>
    <w:p w:rsidR="003928DC" w:rsidRDefault="00392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8CA" w:rsidRDefault="005F68CA"/>
    <w:sectPr w:rsidR="005F68CA" w:rsidSect="0019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C"/>
    <w:rsid w:val="003928DC"/>
    <w:rsid w:val="005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2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A1F6875CF1F9C3164794DFA5D292F342A405A7AB430607CAD9F6C8472E33E6868A36407A7FBB3814N" TargetMode="External"/><Relationship Id="rId13" Type="http://schemas.openxmlformats.org/officeDocument/2006/relationships/hyperlink" Target="consultantplus://offline/ref=25A1F6875CF1F9C3164794DFA5D292F342A406A5AE490607CAD9F6C8472E33E6868A36407A77BB81341FN" TargetMode="External"/><Relationship Id="rId18" Type="http://schemas.openxmlformats.org/officeDocument/2006/relationships/hyperlink" Target="consultantplus://offline/ref=25A1F6875CF1F9C3164794DFA5D292F342A404AFA2440607CAD9F6C847321EN" TargetMode="External"/><Relationship Id="rId26" Type="http://schemas.openxmlformats.org/officeDocument/2006/relationships/hyperlink" Target="consultantplus://offline/ref=25A1F6875CF1F9C3164794DFA5D292F342A404AFA2440607CAD9F6C8472E33E6868A36407A77BE83341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A1F6875CF1F9C3164794DFA5D292F342AE03A3A9480607CAD9F6C8472E33E6868A36447E3717N" TargetMode="External"/><Relationship Id="rId34" Type="http://schemas.openxmlformats.org/officeDocument/2006/relationships/hyperlink" Target="consultantplus://offline/ref=25A1F6875CF1F9C3164794DFA5D292F342A404AFA2440607CAD9F6C8472E33E6868A36407A77BE83341FN" TargetMode="External"/><Relationship Id="rId7" Type="http://schemas.openxmlformats.org/officeDocument/2006/relationships/hyperlink" Target="consultantplus://offline/ref=25A1F6875CF1F9C3164794DFA5D292F342A404AFA2440607CAD9F6C847321EN" TargetMode="External"/><Relationship Id="rId12" Type="http://schemas.openxmlformats.org/officeDocument/2006/relationships/hyperlink" Target="consultantplus://offline/ref=25A1F6875CF1F9C3164794DFA5D292F341A40BA7AA400607CAD9F6C8472E33E6868A36407A77BA85341FN" TargetMode="External"/><Relationship Id="rId17" Type="http://schemas.openxmlformats.org/officeDocument/2006/relationships/hyperlink" Target="consultantplus://offline/ref=25A1F6875CF1F9C3164794DFA5D292F342A404AFA2440607CAD9F6C8472E33E6868A36407A77BE823410N" TargetMode="External"/><Relationship Id="rId25" Type="http://schemas.openxmlformats.org/officeDocument/2006/relationships/hyperlink" Target="consultantplus://offline/ref=25A1F6875CF1F9C3164794DFA5D292F342A404AFA2440607CAD9F6C8472E33E6868A36407A77BE83341EN" TargetMode="External"/><Relationship Id="rId33" Type="http://schemas.openxmlformats.org/officeDocument/2006/relationships/hyperlink" Target="consultantplus://offline/ref=25A1F6875CF1F9C3164794DFA5D292F342A404AFA2440607CAD9F6C8472E33E6868A36407A77BE83341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A1F6875CF1F9C3164794DFA5D292F342AE03A3A9480607CAD9F6C8472E33E6868A36427F3714N" TargetMode="External"/><Relationship Id="rId20" Type="http://schemas.openxmlformats.org/officeDocument/2006/relationships/hyperlink" Target="consultantplus://offline/ref=25A1F6875CF1F9C3164794DFA5D292F342AE03A3A9480607CAD9F6C8472E33E6868A36427F3714N" TargetMode="External"/><Relationship Id="rId29" Type="http://schemas.openxmlformats.org/officeDocument/2006/relationships/hyperlink" Target="consultantplus://offline/ref=25A1F6875CF1F9C3164794DFA5D292F342A404AFA2440607CAD9F6C847321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A1F6875CF1F9C3164794DFA5D292F342A404AFA2440607CAD9F6C8472E33E6868A36407A77BF8A341BN" TargetMode="External"/><Relationship Id="rId11" Type="http://schemas.openxmlformats.org/officeDocument/2006/relationships/hyperlink" Target="consultantplus://offline/ref=25A1F6875CF1F9C3164794DFA5D292F342A405A7AB430607CAD9F6C8472E33E6868A36437E3715N" TargetMode="External"/><Relationship Id="rId24" Type="http://schemas.openxmlformats.org/officeDocument/2006/relationships/hyperlink" Target="consultantplus://offline/ref=25A1F6875CF1F9C3164794DFA5D292F342A404AFA2440607CAD9F6C8472E33E6868A36407A77BE83341DN" TargetMode="External"/><Relationship Id="rId32" Type="http://schemas.openxmlformats.org/officeDocument/2006/relationships/hyperlink" Target="consultantplus://offline/ref=25A1F6875CF1F9C3164794DFA5D292F342A404AFA2440607CAD9F6C8472E33E6868A36407A77BE83341D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25A1F6875CF1F9C3164794DFA5D292F342A404AFA2440607CAD9F6C8472E33E6868A36407A77BE82341AN" TargetMode="External"/><Relationship Id="rId15" Type="http://schemas.openxmlformats.org/officeDocument/2006/relationships/hyperlink" Target="consultantplus://offline/ref=25A1F6875CF1F9C3164794DFA5D292F341A40BA7AA400607CAD9F6C8472E33E6868A36407A77B982341EN" TargetMode="External"/><Relationship Id="rId23" Type="http://schemas.openxmlformats.org/officeDocument/2006/relationships/hyperlink" Target="consultantplus://offline/ref=25A1F6875CF1F9C3164794DFA5D292F342A404AFA2440607CAD9F6C8472E33E6868A36407A77BE823410N" TargetMode="External"/><Relationship Id="rId28" Type="http://schemas.openxmlformats.org/officeDocument/2006/relationships/hyperlink" Target="consultantplus://offline/ref=25A1F6875CF1F9C3164794DFA5D292F341AF05A4AF490607CAD9F6C8472E33E6868A36407A77BB843418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5A1F6875CF1F9C3164794DFA5D292F342A405A7AB430607CAD9F6C847321EN" TargetMode="External"/><Relationship Id="rId19" Type="http://schemas.openxmlformats.org/officeDocument/2006/relationships/hyperlink" Target="consultantplus://offline/ref=25A1F6875CF1F9C3164794DFA5D292F342AE03A3A9480607CAD9F6C8472E33E6868A36427F3714N" TargetMode="External"/><Relationship Id="rId31" Type="http://schemas.openxmlformats.org/officeDocument/2006/relationships/hyperlink" Target="consultantplus://offline/ref=25A1F6875CF1F9C3164794DFA5D292F342A404AFA2440607CAD9F6C8472E33E6868A36407A77BE8234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A1F6875CF1F9C3164794DFA5D292F342A404AFA2440607CAD9F6C847321EN" TargetMode="External"/><Relationship Id="rId14" Type="http://schemas.openxmlformats.org/officeDocument/2006/relationships/hyperlink" Target="consultantplus://offline/ref=25A1F6875CF1F9C3164794DFA5D292F342A405A7AB430607CAD9F6C8472E33E6868A36407A7FBB3814N" TargetMode="External"/><Relationship Id="rId22" Type="http://schemas.openxmlformats.org/officeDocument/2006/relationships/hyperlink" Target="consultantplus://offline/ref=25A1F6875CF1F9C3164794DFA5D292F342AE03A3A9480607CAD9F6C8472E33E6868A36427F3715N" TargetMode="External"/><Relationship Id="rId27" Type="http://schemas.openxmlformats.org/officeDocument/2006/relationships/hyperlink" Target="consultantplus://offline/ref=25A1F6875CF1F9C3164794DFA5D292F342A404AFA2440607CAD9F6C8472E33E6868A36407A77BE833410N" TargetMode="External"/><Relationship Id="rId30" Type="http://schemas.openxmlformats.org/officeDocument/2006/relationships/hyperlink" Target="consultantplus://offline/ref=25A1F6875CF1F9C3164794DFA5D292F342A404AFA2440607CAD9F6C8472E33E6868A36407A77BE83341DN" TargetMode="External"/><Relationship Id="rId35" Type="http://schemas.openxmlformats.org/officeDocument/2006/relationships/hyperlink" Target="consultantplus://offline/ref=25A1F6875CF1F9C3164794DFA5D292F342A404AFA2440607CAD9F6C8472E33E6868A36407A77BE8334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Лопачук Н. В.</dc:creator>
  <cp:lastModifiedBy>Лопачук Н. В.</cp:lastModifiedBy>
  <cp:revision>1</cp:revision>
  <dcterms:created xsi:type="dcterms:W3CDTF">2018-02-28T13:53:00Z</dcterms:created>
  <dcterms:modified xsi:type="dcterms:W3CDTF">2018-02-28T13:55:00Z</dcterms:modified>
</cp:coreProperties>
</file>