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8F" w:rsidRDefault="00B56B20">
      <w:pPr>
        <w:framePr w:h="1267" w:wrap="around" w:hAnchor="margin" w:x="-153" w:y="39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"C:\\Users\\TO60-S~1\\AppData\\Local\\Temp\\FineReader11.00\\media\\image1.jpeg"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63pt">
            <v:imagedata r:id="rId7" r:href="rId8"/>
          </v:shape>
        </w:pict>
      </w:r>
      <w:r>
        <w:fldChar w:fldCharType="end"/>
      </w:r>
    </w:p>
    <w:p w:rsidR="004B3F8F" w:rsidRDefault="00B56B20">
      <w:pPr>
        <w:framePr w:h="1368" w:wrap="around" w:hAnchor="margin" w:x="11089" w:y="47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"C:\\Users\\TO60-S~1\\AppData\\Local\\Temp\\FineReader11.00\\media\\image2.jpeg"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3.75pt;height:69pt">
            <v:imagedata r:id="rId9" r:href="rId10"/>
          </v:shape>
        </w:pict>
      </w:r>
      <w:r>
        <w:fldChar w:fldCharType="end"/>
      </w:r>
    </w:p>
    <w:p w:rsidR="004B3F8F" w:rsidRDefault="0050425E" w:rsidP="0050425E">
      <w:pPr>
        <w:pStyle w:val="20"/>
        <w:shd w:val="clear" w:color="auto" w:fill="auto"/>
        <w:spacing w:after="237" w:line="240" w:lineRule="exact"/>
        <w:ind w:left="540"/>
        <w:jc w:val="center"/>
      </w:pPr>
      <w:proofErr w:type="gramStart"/>
      <w:r>
        <w:rPr>
          <w:rStyle w:val="21"/>
          <w:i/>
          <w:iCs/>
        </w:rPr>
        <w:t>ПСКОВ</w:t>
      </w:r>
      <w:r w:rsidR="00B56B20">
        <w:rPr>
          <w:rStyle w:val="21"/>
          <w:i/>
          <w:iCs/>
        </w:rPr>
        <w:t>СКОЕ</w:t>
      </w:r>
      <w:proofErr w:type="gramEnd"/>
      <w:r w:rsidR="00B56B20">
        <w:rPr>
          <w:rStyle w:val="21"/>
          <w:i/>
          <w:iCs/>
        </w:rPr>
        <w:t xml:space="preserve"> УФАС РОССИИ</w:t>
      </w:r>
    </w:p>
    <w:p w:rsidR="0050425E" w:rsidRDefault="0050425E">
      <w:pPr>
        <w:pStyle w:val="20"/>
        <w:shd w:val="clear" w:color="auto" w:fill="auto"/>
        <w:spacing w:after="378" w:line="317" w:lineRule="exact"/>
        <w:ind w:left="20" w:right="20" w:firstLine="0"/>
        <w:rPr>
          <w:rStyle w:val="22"/>
          <w:i/>
          <w:iCs/>
        </w:rPr>
      </w:pPr>
    </w:p>
    <w:p w:rsidR="0050425E" w:rsidRDefault="0050425E">
      <w:pPr>
        <w:pStyle w:val="20"/>
        <w:shd w:val="clear" w:color="auto" w:fill="auto"/>
        <w:spacing w:after="378" w:line="317" w:lineRule="exact"/>
        <w:ind w:left="20" w:right="20" w:firstLine="0"/>
        <w:rPr>
          <w:rStyle w:val="22"/>
          <w:i/>
          <w:iCs/>
        </w:rPr>
      </w:pPr>
    </w:p>
    <w:p w:rsidR="004B3F8F" w:rsidRDefault="00B56B20" w:rsidP="0050425E">
      <w:pPr>
        <w:pStyle w:val="20"/>
        <w:shd w:val="clear" w:color="auto" w:fill="auto"/>
        <w:spacing w:after="378" w:line="317" w:lineRule="exact"/>
        <w:ind w:left="20" w:right="20" w:firstLine="0"/>
        <w:jc w:val="center"/>
      </w:pPr>
      <w:r>
        <w:rPr>
          <w:rStyle w:val="22"/>
          <w:i/>
          <w:iCs/>
        </w:rPr>
        <w:t>ПАМЯТКА АВТОЛЮБИТЕЛЯ 4 Ш</w:t>
      </w:r>
      <w:r w:rsidR="00F04EAB">
        <w:rPr>
          <w:rStyle w:val="22"/>
          <w:i/>
          <w:iCs/>
        </w:rPr>
        <w:t>АГА ДЛЯ ЗАКЛЮЧЕНИЯ ДОГ</w:t>
      </w:r>
      <w:r w:rsidR="0050425E">
        <w:rPr>
          <w:rStyle w:val="22"/>
          <w:i/>
          <w:iCs/>
        </w:rPr>
        <w:t>ОВОРА ОСАГ</w:t>
      </w:r>
      <w:r>
        <w:rPr>
          <w:rStyle w:val="22"/>
          <w:i/>
          <w:iCs/>
        </w:rPr>
        <w:t>О БЕЗ ПРОБЛЕМ</w:t>
      </w:r>
    </w:p>
    <w:p w:rsidR="004B3F8F" w:rsidRDefault="00B56B20">
      <w:pPr>
        <w:pStyle w:val="23"/>
        <w:shd w:val="clear" w:color="auto" w:fill="auto"/>
        <w:spacing w:before="0" w:after="18" w:line="220" w:lineRule="exact"/>
        <w:ind w:left="20"/>
      </w:pPr>
      <w:r>
        <w:rPr>
          <w:rStyle w:val="1"/>
          <w:b/>
          <w:bCs/>
        </w:rPr>
        <w:t>ШАГ №1</w:t>
      </w:r>
    </w:p>
    <w:p w:rsidR="004B3F8F" w:rsidRDefault="00B56B20" w:rsidP="009C4670">
      <w:pPr>
        <w:pStyle w:val="23"/>
        <w:shd w:val="clear" w:color="auto" w:fill="auto"/>
        <w:spacing w:before="0" w:after="0" w:line="283" w:lineRule="exact"/>
        <w:ind w:left="20" w:right="20"/>
        <w:jc w:val="both"/>
      </w:pPr>
      <w:r>
        <w:t>Обращаться в страховую компанию за заключением договора ОСАГО в письменной форме не менее</w:t>
      </w:r>
      <w:proofErr w:type="gramStart"/>
      <w:r>
        <w:t>,</w:t>
      </w:r>
      <w:proofErr w:type="gramEnd"/>
      <w:r>
        <w:t xml:space="preserve"> чем ЗА МЕСЯЦ до истечения срока действия полиса ОСАГО</w:t>
      </w:r>
    </w:p>
    <w:p w:rsidR="009C4670" w:rsidRDefault="009C4670" w:rsidP="009C4670">
      <w:pPr>
        <w:pStyle w:val="23"/>
        <w:shd w:val="clear" w:color="auto" w:fill="auto"/>
        <w:spacing w:before="0" w:after="0" w:line="283" w:lineRule="exact"/>
        <w:ind w:left="20" w:right="20"/>
        <w:jc w:val="both"/>
      </w:pPr>
    </w:p>
    <w:p w:rsidR="004B3F8F" w:rsidRDefault="00B56B20">
      <w:pPr>
        <w:pStyle w:val="23"/>
        <w:shd w:val="clear" w:color="auto" w:fill="auto"/>
        <w:spacing w:before="0" w:after="78" w:line="220" w:lineRule="exact"/>
        <w:ind w:left="20"/>
        <w:jc w:val="both"/>
      </w:pPr>
      <w:r>
        <w:rPr>
          <w:rStyle w:val="1"/>
          <w:b/>
          <w:bCs/>
        </w:rPr>
        <w:t>ШАГ №2</w:t>
      </w:r>
    </w:p>
    <w:p w:rsidR="004B3F8F" w:rsidRDefault="00B56B20" w:rsidP="00F04EAB">
      <w:pPr>
        <w:pStyle w:val="23"/>
        <w:shd w:val="clear" w:color="auto" w:fill="auto"/>
        <w:spacing w:before="0" w:after="0" w:line="220" w:lineRule="exact"/>
        <w:ind w:left="20"/>
        <w:jc w:val="both"/>
      </w:pPr>
      <w:r>
        <w:t xml:space="preserve">Представить в </w:t>
      </w:r>
      <w:r>
        <w:t>страховую компанию предусмотренные п.14 Правил ОСАГО документы:</w:t>
      </w:r>
    </w:p>
    <w:p w:rsidR="008E32F2" w:rsidRDefault="008E32F2" w:rsidP="00713859">
      <w:pPr>
        <w:pStyle w:val="30"/>
        <w:shd w:val="clear" w:color="auto" w:fill="auto"/>
        <w:spacing w:before="0"/>
        <w:ind w:left="20" w:right="20" w:firstLine="0"/>
        <w:jc w:val="both"/>
        <w:rPr>
          <w:rStyle w:val="312pt"/>
        </w:rPr>
      </w:pPr>
      <w:r>
        <w:rPr>
          <w:rStyle w:val="312pt"/>
        </w:rPr>
        <w:t>-</w:t>
      </w:r>
      <w:r w:rsidR="00B56B20">
        <w:t xml:space="preserve">заявление о заключении договора обязательного страхования по форме Минфина РФ от 01.07.2009 №67н, </w:t>
      </w:r>
      <w:r w:rsidR="00B56B20">
        <w:rPr>
          <w:rStyle w:val="312pt"/>
        </w:rPr>
        <w:t xml:space="preserve">а также собственный экземпляр заявления для отметки о его получении страховой компанией </w:t>
      </w:r>
    </w:p>
    <w:p w:rsidR="008E32F2" w:rsidRDefault="008E32F2" w:rsidP="00713859">
      <w:pPr>
        <w:pStyle w:val="30"/>
        <w:shd w:val="clear" w:color="auto" w:fill="auto"/>
        <w:spacing w:before="0"/>
        <w:ind w:left="20" w:right="20" w:firstLine="0"/>
        <w:jc w:val="both"/>
      </w:pPr>
      <w:r>
        <w:rPr>
          <w:rStyle w:val="312pt"/>
        </w:rPr>
        <w:t xml:space="preserve">- </w:t>
      </w:r>
      <w:r w:rsidR="00B56B20">
        <w:t xml:space="preserve"> документ, удостоверяющий личность</w:t>
      </w:r>
    </w:p>
    <w:p w:rsidR="008E32F2" w:rsidRDefault="008E32F2" w:rsidP="00713859">
      <w:pPr>
        <w:pStyle w:val="30"/>
        <w:shd w:val="clear" w:color="auto" w:fill="auto"/>
        <w:spacing w:before="0"/>
        <w:ind w:left="20" w:right="20" w:firstLine="0"/>
        <w:jc w:val="both"/>
      </w:pPr>
      <w:r>
        <w:rPr>
          <w:rStyle w:val="312pt"/>
        </w:rPr>
        <w:t>-</w:t>
      </w:r>
      <w:r>
        <w:t xml:space="preserve"> </w:t>
      </w:r>
      <w:r w:rsidR="00B56B20">
        <w:t xml:space="preserve"> документ о регистрации транспортного средства </w:t>
      </w:r>
    </w:p>
    <w:p w:rsidR="004B3F8F" w:rsidRDefault="008E32F2" w:rsidP="00713859">
      <w:pPr>
        <w:pStyle w:val="30"/>
        <w:shd w:val="clear" w:color="auto" w:fill="auto"/>
        <w:spacing w:before="0"/>
        <w:ind w:left="20" w:right="20" w:firstLine="0"/>
        <w:jc w:val="both"/>
      </w:pPr>
      <w:r>
        <w:rPr>
          <w:rStyle w:val="312pt"/>
        </w:rPr>
        <w:t>-</w:t>
      </w:r>
      <w:r>
        <w:t xml:space="preserve"> </w:t>
      </w:r>
      <w:r w:rsidR="00B56B20">
        <w:t>водительское удостоверение</w:t>
      </w:r>
    </w:p>
    <w:p w:rsidR="00643714" w:rsidRDefault="008E32F2" w:rsidP="00F04EAB">
      <w:pPr>
        <w:pStyle w:val="30"/>
        <w:shd w:val="clear" w:color="auto" w:fill="auto"/>
        <w:spacing w:before="0" w:line="293" w:lineRule="exact"/>
        <w:ind w:left="540" w:right="20"/>
        <w:jc w:val="both"/>
      </w:pPr>
      <w:r>
        <w:rPr>
          <w:rStyle w:val="312pt"/>
        </w:rPr>
        <w:t xml:space="preserve">- </w:t>
      </w:r>
      <w:r w:rsidR="00B56B20">
        <w:t>диагностическую карту, содержащую сведения о соответствии транспортного ср</w:t>
      </w:r>
      <w:r w:rsidR="00713859">
        <w:t xml:space="preserve">едства обязательным требованиям </w:t>
      </w:r>
      <w:r w:rsidR="00B56B20">
        <w:t>безопасности транспортных средств</w:t>
      </w:r>
    </w:p>
    <w:p w:rsidR="009C4670" w:rsidRDefault="009C4670" w:rsidP="00F04EAB">
      <w:pPr>
        <w:pStyle w:val="30"/>
        <w:shd w:val="clear" w:color="auto" w:fill="auto"/>
        <w:spacing w:before="0" w:line="293" w:lineRule="exact"/>
        <w:ind w:left="540" w:right="20"/>
        <w:jc w:val="both"/>
      </w:pPr>
    </w:p>
    <w:p w:rsidR="00F04EAB" w:rsidRDefault="00B56B20" w:rsidP="00F04EAB">
      <w:pPr>
        <w:pStyle w:val="30"/>
        <w:shd w:val="clear" w:color="auto" w:fill="auto"/>
        <w:spacing w:before="0" w:line="293" w:lineRule="exact"/>
        <w:ind w:left="540" w:right="20"/>
        <w:jc w:val="both"/>
        <w:rPr>
          <w:rStyle w:val="1"/>
        </w:rPr>
      </w:pPr>
      <w:r>
        <w:rPr>
          <w:rStyle w:val="1"/>
        </w:rPr>
        <w:t>ША</w:t>
      </w:r>
      <w:r>
        <w:rPr>
          <w:rStyle w:val="1"/>
        </w:rPr>
        <w:t>Г №3</w:t>
      </w:r>
    </w:p>
    <w:p w:rsidR="004B3F8F" w:rsidRDefault="00B56B20" w:rsidP="009C4670">
      <w:pPr>
        <w:pStyle w:val="30"/>
        <w:shd w:val="clear" w:color="auto" w:fill="auto"/>
        <w:spacing w:before="0" w:line="293" w:lineRule="exact"/>
        <w:ind w:left="540" w:right="20"/>
        <w:jc w:val="both"/>
      </w:pPr>
      <w:r>
        <w:t>Страховая компания обязана заключить договор ОСАГО в течение 30 дней со дня получения обращения</w:t>
      </w:r>
    </w:p>
    <w:p w:rsidR="009C4670" w:rsidRDefault="009C4670" w:rsidP="009C4670">
      <w:pPr>
        <w:pStyle w:val="30"/>
        <w:shd w:val="clear" w:color="auto" w:fill="auto"/>
        <w:spacing w:before="0" w:line="293" w:lineRule="exact"/>
        <w:ind w:left="540" w:right="20"/>
        <w:jc w:val="both"/>
      </w:pPr>
    </w:p>
    <w:p w:rsidR="004B3F8F" w:rsidRDefault="00B56B20">
      <w:pPr>
        <w:pStyle w:val="23"/>
        <w:shd w:val="clear" w:color="auto" w:fill="auto"/>
        <w:spacing w:before="0" w:after="4" w:line="220" w:lineRule="exact"/>
        <w:ind w:left="20"/>
        <w:jc w:val="both"/>
      </w:pPr>
      <w:r>
        <w:rPr>
          <w:rStyle w:val="1"/>
          <w:b/>
          <w:bCs/>
        </w:rPr>
        <w:t>ШАГ №4</w:t>
      </w:r>
    </w:p>
    <w:p w:rsidR="00CB6C72" w:rsidRDefault="00B56B20" w:rsidP="00CB6C72">
      <w:pPr>
        <w:pStyle w:val="23"/>
        <w:shd w:val="clear" w:color="auto" w:fill="auto"/>
        <w:spacing w:before="0" w:after="356" w:line="288" w:lineRule="exact"/>
        <w:ind w:left="20" w:right="20"/>
        <w:jc w:val="both"/>
      </w:pPr>
      <w:r>
        <w:t xml:space="preserve">При отказе от заключения договора, навязывании дополнительных услуг или неверном расчете коэффициентов - обращаться в </w:t>
      </w:r>
      <w:r w:rsidR="0059502C">
        <w:t xml:space="preserve">Управление Службы по защите прав потребителей финансовых услуг и миноритарных акционеров в </w:t>
      </w:r>
      <w:proofErr w:type="spellStart"/>
      <w:r w:rsidR="0059502C">
        <w:t>Северо</w:t>
      </w:r>
      <w:proofErr w:type="spellEnd"/>
      <w:r w:rsidR="0059502C">
        <w:t xml:space="preserve"> – Западном федеральном округе</w:t>
      </w:r>
      <w:r w:rsidR="0059502C">
        <w:t xml:space="preserve"> </w:t>
      </w:r>
      <w:r w:rsidR="00CB6C72">
        <w:t>по адресу</w:t>
      </w:r>
      <w:r w:rsidR="0059502C">
        <w:t>:</w:t>
      </w:r>
      <w:r w:rsidR="00CB6C72">
        <w:t xml:space="preserve"> </w:t>
      </w:r>
      <w:r w:rsidR="0059502C">
        <w:t>191038, г. Санкт-Петербург, наб. реки Фонтанки, д. 68</w:t>
      </w:r>
    </w:p>
    <w:p w:rsidR="004B3F8F" w:rsidRDefault="00B56B20" w:rsidP="00CB6C72">
      <w:pPr>
        <w:pStyle w:val="23"/>
        <w:shd w:val="clear" w:color="auto" w:fill="auto"/>
        <w:spacing w:before="0" w:after="356" w:line="288" w:lineRule="exact"/>
        <w:ind w:left="20" w:right="20"/>
        <w:jc w:val="both"/>
      </w:pPr>
      <w:bookmarkStart w:id="0" w:name="_GoBack"/>
      <w:bookmarkEnd w:id="0"/>
      <w:r>
        <w:t xml:space="preserve">При системном и массовом </w:t>
      </w:r>
      <w:proofErr w:type="gramStart"/>
      <w:r>
        <w:t>характере</w:t>
      </w:r>
      <w:proofErr w:type="gramEnd"/>
      <w:r>
        <w:t xml:space="preserve"> указанных действий страховых компаний данные факты могут быть рассмотрены </w:t>
      </w:r>
      <w:r w:rsidR="00CB6C72">
        <w:t>Псковским</w:t>
      </w:r>
      <w:r>
        <w:t xml:space="preserve"> УФАС Р</w:t>
      </w:r>
      <w:r>
        <w:t>оссии на предмет соблюдения антимонопольного законодательства.</w:t>
      </w:r>
    </w:p>
    <w:sectPr w:rsidR="004B3F8F">
      <w:type w:val="continuous"/>
      <w:pgSz w:w="16838" w:h="11909" w:orient="landscape"/>
      <w:pgMar w:top="852" w:right="2016" w:bottom="785" w:left="2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20" w:rsidRDefault="00B56B20">
      <w:r>
        <w:separator/>
      </w:r>
    </w:p>
  </w:endnote>
  <w:endnote w:type="continuationSeparator" w:id="0">
    <w:p w:rsidR="00B56B20" w:rsidRDefault="00B5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20" w:rsidRDefault="00B56B20"/>
  </w:footnote>
  <w:footnote w:type="continuationSeparator" w:id="0">
    <w:p w:rsidR="00B56B20" w:rsidRDefault="00B56B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3F8F"/>
    <w:rsid w:val="004B3F8F"/>
    <w:rsid w:val="0050425E"/>
    <w:rsid w:val="0059502C"/>
    <w:rsid w:val="00643714"/>
    <w:rsid w:val="00713859"/>
    <w:rsid w:val="008E32F2"/>
    <w:rsid w:val="009C4670"/>
    <w:rsid w:val="00B56B20"/>
    <w:rsid w:val="00CB6C72"/>
    <w:rsid w:val="00F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31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C4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31" w:lineRule="exac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C4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TO60-S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TO60-S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2</cp:revision>
  <cp:lastPrinted>2016-09-01T08:51:00Z</cp:lastPrinted>
  <dcterms:created xsi:type="dcterms:W3CDTF">2016-09-01T08:33:00Z</dcterms:created>
  <dcterms:modified xsi:type="dcterms:W3CDTF">2016-09-01T08:51:00Z</dcterms:modified>
</cp:coreProperties>
</file>